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rub the ink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spot did shrink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flung the pen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then a pink spot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did think to scrub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The men had sunk the ship.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Tim hung the string on the peg.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The cat drank the milk from the dish.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A strong man can lift this trunk.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A pink and red fish swam in the tank.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