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486025" cy="24526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52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color w:val="ff0000"/>
          <w:sz w:val="144"/>
          <w:szCs w:val="144"/>
          <w:vertAlign w:val="baseline"/>
        </w:rPr>
      </w:pP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vcv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144"/>
          <w:szCs w:val="144"/>
          <w:vertAlign w:val="baseline"/>
        </w:rPr>
      </w:pPr>
      <w:r w:rsidDel="00000000" w:rsidR="00000000" w:rsidRPr="00000000">
        <w:rPr>
          <w:sz w:val="144"/>
          <w:szCs w:val="144"/>
          <w:vertAlign w:val="baseline"/>
          <w:rtl w:val="0"/>
        </w:rPr>
        <w:t xml:space="preserve">tiger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color w:val="ff0000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48"/>
          <w:szCs w:val="48"/>
          <w:rtl w:val="0"/>
        </w:rPr>
        <w:t xml:space="preserve">*When a word has only one consonant between two vowels, you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ff0000"/>
          <w:sz w:val="48"/>
          <w:szCs w:val="48"/>
          <w:rtl w:val="0"/>
        </w:rPr>
        <w:t xml:space="preserve">usually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48"/>
          <w:szCs w:val="48"/>
          <w:rtl w:val="0"/>
        </w:rPr>
        <w:t xml:space="preserve"> divide the word after the first vowel.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